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F3A2A" w14:textId="77777777" w:rsidR="006F4000" w:rsidRDefault="00636F2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Birmingham</w:t>
      </w:r>
    </w:p>
    <w:p w14:paraId="26D74556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8BB32F" w14:textId="77777777" w:rsidR="006F4000" w:rsidRDefault="00636F24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Introducing Birmingham</w:t>
      </w:r>
    </w:p>
    <w:p w14:paraId="2965DBBB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6025"/>
      </w:tblGrid>
      <w:tr w:rsidR="006F4000" w14:paraId="66F3FB5F" w14:textId="77777777">
        <w:tc>
          <w:tcPr>
            <w:tcW w:w="3325" w:type="dxa"/>
          </w:tcPr>
          <w:p w14:paraId="43AB5D9D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City Population:</w:t>
            </w:r>
          </w:p>
        </w:tc>
        <w:tc>
          <w:tcPr>
            <w:tcW w:w="6025" w:type="dxa"/>
          </w:tcPr>
          <w:p w14:paraId="20333138" w14:textId="77777777" w:rsidR="006F4000" w:rsidRDefault="00636F2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212,157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6F4000" w14:paraId="358510BC" w14:textId="77777777">
        <w:trPr>
          <w:trHeight w:val="620"/>
        </w:trPr>
        <w:tc>
          <w:tcPr>
            <w:tcW w:w="3325" w:type="dxa"/>
          </w:tcPr>
          <w:p w14:paraId="38FF5709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Poverty Rate:</w:t>
            </w:r>
          </w:p>
        </w:tc>
        <w:tc>
          <w:tcPr>
            <w:tcW w:w="6025" w:type="dxa"/>
          </w:tcPr>
          <w:p w14:paraId="36BAC0D9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30.9%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6F4000" w14:paraId="540EEF3E" w14:textId="77777777">
        <w:tc>
          <w:tcPr>
            <w:tcW w:w="3325" w:type="dxa"/>
          </w:tcPr>
          <w:p w14:paraId="4CDFD636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Unemployment Rate:</w:t>
            </w:r>
          </w:p>
        </w:tc>
        <w:tc>
          <w:tcPr>
            <w:tcW w:w="6025" w:type="dxa"/>
          </w:tcPr>
          <w:p w14:paraId="4229AE42" w14:textId="77777777" w:rsidR="006F4000" w:rsidRDefault="00636F2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3.1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6F4000" w14:paraId="21072A51" w14:textId="77777777">
        <w:tc>
          <w:tcPr>
            <w:tcW w:w="3325" w:type="dxa"/>
          </w:tcPr>
          <w:p w14:paraId="5BFD127C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Job Growth Rate:</w:t>
            </w:r>
          </w:p>
        </w:tc>
        <w:tc>
          <w:tcPr>
            <w:tcW w:w="6025" w:type="dxa"/>
          </w:tcPr>
          <w:p w14:paraId="16BB0DA5" w14:textId="77777777" w:rsidR="006F4000" w:rsidRDefault="00636F2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Projected 1.5% in 2017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F4000" w14:paraId="6B05DE3B" w14:textId="77777777">
        <w:tc>
          <w:tcPr>
            <w:tcW w:w="3325" w:type="dxa"/>
          </w:tcPr>
          <w:p w14:paraId="2AEF21D2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City Debt:</w:t>
            </w:r>
          </w:p>
        </w:tc>
        <w:tc>
          <w:tcPr>
            <w:tcW w:w="6025" w:type="dxa"/>
          </w:tcPr>
          <w:p w14:paraId="32F13833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$3.14 billion for Jefferson County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6F4000" w14:paraId="6E8DA098" w14:textId="77777777">
        <w:tc>
          <w:tcPr>
            <w:tcW w:w="3325" w:type="dxa"/>
          </w:tcPr>
          <w:p w14:paraId="5B2B783D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Debt per capita:</w:t>
            </w:r>
          </w:p>
        </w:tc>
        <w:tc>
          <w:tcPr>
            <w:tcW w:w="6025" w:type="dxa"/>
          </w:tcPr>
          <w:p w14:paraId="2DB0B146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$401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6F4000" w14:paraId="268DDEE3" w14:textId="77777777">
        <w:trPr>
          <w:trHeight w:val="220"/>
        </w:trPr>
        <w:tc>
          <w:tcPr>
            <w:tcW w:w="3325" w:type="dxa"/>
          </w:tcPr>
          <w:p w14:paraId="4A56E313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Living Wage:</w:t>
            </w:r>
          </w:p>
        </w:tc>
        <w:tc>
          <w:tcPr>
            <w:tcW w:w="6025" w:type="dxa"/>
          </w:tcPr>
          <w:p w14:paraId="0252337C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$10.98 for 1 adult, $22.41 for 1 adult and 1 child, $28.20 for 1 adult and 2 children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6F4000" w14:paraId="5C13AB14" w14:textId="77777777">
        <w:trPr>
          <w:trHeight w:val="260"/>
        </w:trPr>
        <w:tc>
          <w:tcPr>
            <w:tcW w:w="3325" w:type="dxa"/>
          </w:tcPr>
          <w:p w14:paraId="2BAC5ED8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Minimum Wage:</w:t>
            </w:r>
          </w:p>
        </w:tc>
        <w:tc>
          <w:tcPr>
            <w:tcW w:w="6025" w:type="dxa"/>
          </w:tcPr>
          <w:p w14:paraId="0EBF4DAD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$7.25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6F4000" w14:paraId="4367526D" w14:textId="77777777">
        <w:trPr>
          <w:trHeight w:val="260"/>
        </w:trPr>
        <w:tc>
          <w:tcPr>
            <w:tcW w:w="3325" w:type="dxa"/>
          </w:tcPr>
          <w:p w14:paraId="7997182C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Median Household Income:</w:t>
            </w:r>
          </w:p>
        </w:tc>
        <w:tc>
          <w:tcPr>
            <w:tcW w:w="6025" w:type="dxa"/>
          </w:tcPr>
          <w:p w14:paraId="34873E21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$51,459 in 2015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6F4000" w14:paraId="5B3DF670" w14:textId="77777777">
        <w:trPr>
          <w:trHeight w:val="340"/>
        </w:trPr>
        <w:tc>
          <w:tcPr>
            <w:tcW w:w="3325" w:type="dxa"/>
          </w:tcPr>
          <w:p w14:paraId="6DD202A6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Cost of Living:</w:t>
            </w:r>
          </w:p>
        </w:tc>
        <w:tc>
          <w:tcPr>
            <w:tcW w:w="6025" w:type="dxa"/>
          </w:tcPr>
          <w:p w14:paraId="2CBC9F74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$22,843 for 1 adult,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$46,606 for 1 adult and 1 child and $58,660 for 1 adult and 2 children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0"/>
            </w:r>
          </w:p>
        </w:tc>
      </w:tr>
      <w:tr w:rsidR="006F4000" w14:paraId="027C9777" w14:textId="77777777">
        <w:trPr>
          <w:trHeight w:val="260"/>
        </w:trPr>
        <w:tc>
          <w:tcPr>
            <w:tcW w:w="3325" w:type="dxa"/>
          </w:tcPr>
          <w:p w14:paraId="73240399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Rent vs. Own:</w:t>
            </w:r>
          </w:p>
        </w:tc>
        <w:tc>
          <w:tcPr>
            <w:tcW w:w="6025" w:type="dxa"/>
          </w:tcPr>
          <w:p w14:paraId="47AAE76A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31.07%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rent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6F4000" w14:paraId="2482B45A" w14:textId="77777777">
        <w:trPr>
          <w:trHeight w:val="260"/>
        </w:trPr>
        <w:tc>
          <w:tcPr>
            <w:tcW w:w="3325" w:type="dxa"/>
          </w:tcPr>
          <w:p w14:paraId="00CB6E6D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Rent Assistance:</w:t>
            </w:r>
          </w:p>
        </w:tc>
        <w:tc>
          <w:tcPr>
            <w:tcW w:w="6025" w:type="dxa"/>
          </w:tcPr>
          <w:p w14:paraId="1757F5F0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 xml:space="preserve">Resources for rent assistance </w:t>
              </w:r>
            </w:hyperlink>
          </w:p>
        </w:tc>
      </w:tr>
      <w:tr w:rsidR="006F4000" w14:paraId="160198CD" w14:textId="77777777">
        <w:trPr>
          <w:trHeight w:val="260"/>
        </w:trPr>
        <w:tc>
          <w:tcPr>
            <w:tcW w:w="3325" w:type="dxa"/>
          </w:tcPr>
          <w:p w14:paraId="454DA1F0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 Living:</w:t>
            </w:r>
          </w:p>
        </w:tc>
        <w:tc>
          <w:tcPr>
            <w:tcW w:w="6025" w:type="dxa"/>
          </w:tcPr>
          <w:p w14:paraId="4E4A5DE9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Jefferson County Senior Services</w:t>
              </w:r>
            </w:hyperlink>
          </w:p>
        </w:tc>
      </w:tr>
      <w:tr w:rsidR="006F4000" w14:paraId="59F52DA3" w14:textId="77777777">
        <w:trPr>
          <w:trHeight w:val="260"/>
        </w:trPr>
        <w:tc>
          <w:tcPr>
            <w:tcW w:w="3325" w:type="dxa"/>
          </w:tcPr>
          <w:p w14:paraId="564FAC31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Drug Abuse:</w:t>
            </w:r>
          </w:p>
        </w:tc>
        <w:tc>
          <w:tcPr>
            <w:tcW w:w="6025" w:type="dxa"/>
          </w:tcPr>
          <w:p w14:paraId="498DA4B9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Addiction Services in Birmingh</w:t>
              </w:r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am</w:t>
              </w:r>
            </w:hyperlink>
          </w:p>
        </w:tc>
      </w:tr>
      <w:tr w:rsidR="006F4000" w14:paraId="7F97F0AD" w14:textId="77777777">
        <w:trPr>
          <w:trHeight w:val="320"/>
        </w:trPr>
        <w:tc>
          <w:tcPr>
            <w:tcW w:w="3325" w:type="dxa"/>
          </w:tcPr>
          <w:p w14:paraId="2DE4BDA7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Alcoholic Help:</w:t>
            </w:r>
          </w:p>
        </w:tc>
        <w:tc>
          <w:tcPr>
            <w:tcW w:w="6025" w:type="dxa"/>
          </w:tcPr>
          <w:p w14:paraId="3B4C77AD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Addiction Services in Birmingham</w:t>
              </w:r>
            </w:hyperlink>
          </w:p>
        </w:tc>
      </w:tr>
      <w:tr w:rsidR="006F4000" w14:paraId="4CDE85E2" w14:textId="77777777">
        <w:trPr>
          <w:trHeight w:val="320"/>
        </w:trPr>
        <w:tc>
          <w:tcPr>
            <w:tcW w:w="3325" w:type="dxa"/>
          </w:tcPr>
          <w:p w14:paraId="02F90BF8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Housing Resources:</w:t>
            </w:r>
          </w:p>
        </w:tc>
        <w:tc>
          <w:tcPr>
            <w:tcW w:w="6025" w:type="dxa"/>
          </w:tcPr>
          <w:p w14:paraId="274CEAF5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Jefferson County Housing Authority</w:t>
              </w:r>
            </w:hyperlink>
          </w:p>
        </w:tc>
      </w:tr>
      <w:tr w:rsidR="006F4000" w14:paraId="6525A32C" w14:textId="77777777">
        <w:trPr>
          <w:trHeight w:val="260"/>
        </w:trPr>
        <w:tc>
          <w:tcPr>
            <w:tcW w:w="3325" w:type="dxa"/>
          </w:tcPr>
          <w:p w14:paraId="0FC30785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Homeless Shelters:</w:t>
            </w:r>
          </w:p>
        </w:tc>
        <w:tc>
          <w:tcPr>
            <w:tcW w:w="6025" w:type="dxa"/>
          </w:tcPr>
          <w:p w14:paraId="480439AE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Homeless shelter directory</w:t>
              </w:r>
            </w:hyperlink>
          </w:p>
        </w:tc>
      </w:tr>
      <w:tr w:rsidR="006F4000" w14:paraId="14B340E6" w14:textId="77777777">
        <w:trPr>
          <w:trHeight w:val="600"/>
        </w:trPr>
        <w:tc>
          <w:tcPr>
            <w:tcW w:w="3325" w:type="dxa"/>
          </w:tcPr>
          <w:p w14:paraId="6FF1BC74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Assistance:</w:t>
            </w:r>
          </w:p>
        </w:tc>
        <w:tc>
          <w:tcPr>
            <w:tcW w:w="6025" w:type="dxa"/>
          </w:tcPr>
          <w:p w14:paraId="27D79671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Jeff</w:t>
              </w:r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erson County Assistance Programs</w:t>
              </w:r>
            </w:hyperlink>
          </w:p>
        </w:tc>
      </w:tr>
      <w:tr w:rsidR="006F4000" w14:paraId="6322ADD5" w14:textId="77777777">
        <w:trPr>
          <w:trHeight w:val="240"/>
        </w:trPr>
        <w:tc>
          <w:tcPr>
            <w:tcW w:w="3325" w:type="dxa"/>
          </w:tcPr>
          <w:p w14:paraId="3BCD74D9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Veterans Assistance:</w:t>
            </w:r>
          </w:p>
        </w:tc>
        <w:tc>
          <w:tcPr>
            <w:tcW w:w="6025" w:type="dxa"/>
          </w:tcPr>
          <w:p w14:paraId="540872A3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Birmingham Veterans Affairs</w:t>
              </w:r>
            </w:hyperlink>
          </w:p>
        </w:tc>
      </w:tr>
    </w:tbl>
    <w:p w14:paraId="44739D52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671D92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E62827" w14:textId="77777777" w:rsidR="006F4000" w:rsidRDefault="00636F24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Payday Loans in Birmingham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6F4000" w14:paraId="01DB6BFA" w14:textId="77777777">
        <w:trPr>
          <w:trHeight w:val="400"/>
        </w:trPr>
        <w:tc>
          <w:tcPr>
            <w:tcW w:w="3145" w:type="dxa"/>
          </w:tcPr>
          <w:p w14:paraId="609F5042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Legal Status:</w:t>
            </w:r>
          </w:p>
        </w:tc>
        <w:tc>
          <w:tcPr>
            <w:tcW w:w="6205" w:type="dxa"/>
          </w:tcPr>
          <w:p w14:paraId="5AD6E9FD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Legal</w:t>
            </w:r>
          </w:p>
        </w:tc>
      </w:tr>
      <w:tr w:rsidR="006F4000" w14:paraId="2D5DD713" w14:textId="77777777">
        <w:trPr>
          <w:trHeight w:val="320"/>
        </w:trPr>
        <w:tc>
          <w:tcPr>
            <w:tcW w:w="3145" w:type="dxa"/>
          </w:tcPr>
          <w:p w14:paraId="59C9F9DC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Payday Transactions:</w:t>
            </w:r>
          </w:p>
        </w:tc>
        <w:tc>
          <w:tcPr>
            <w:tcW w:w="6205" w:type="dxa"/>
          </w:tcPr>
          <w:p w14:paraId="348354ED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million payday loans in 2015 - each borrower taking out 8 loans each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2"/>
            </w:r>
          </w:p>
        </w:tc>
      </w:tr>
      <w:tr w:rsidR="006F4000" w14:paraId="2C1CB7E3" w14:textId="77777777">
        <w:trPr>
          <w:trHeight w:val="320"/>
        </w:trPr>
        <w:tc>
          <w:tcPr>
            <w:tcW w:w="3145" w:type="dxa"/>
          </w:tcPr>
          <w:p w14:paraId="0410B89E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Payday Fee per $100:</w:t>
            </w:r>
          </w:p>
        </w:tc>
        <w:tc>
          <w:tcPr>
            <w:tcW w:w="6205" w:type="dxa"/>
          </w:tcPr>
          <w:p w14:paraId="1087282B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$17.50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3"/>
            </w:r>
          </w:p>
        </w:tc>
      </w:tr>
      <w:tr w:rsidR="006F4000" w14:paraId="4C804249" w14:textId="77777777">
        <w:trPr>
          <w:trHeight w:val="320"/>
        </w:trPr>
        <w:tc>
          <w:tcPr>
            <w:tcW w:w="3145" w:type="dxa"/>
          </w:tcPr>
          <w:p w14:paraId="64C75721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% of Customers Refinancing:</w:t>
            </w:r>
          </w:p>
        </w:tc>
        <w:tc>
          <w:tcPr>
            <w:tcW w:w="6205" w:type="dxa"/>
          </w:tcPr>
          <w:p w14:paraId="4E667AC2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66%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4"/>
            </w:r>
          </w:p>
        </w:tc>
      </w:tr>
      <w:tr w:rsidR="006F4000" w14:paraId="5CED5614" w14:textId="77777777">
        <w:trPr>
          <w:trHeight w:val="320"/>
        </w:trPr>
        <w:tc>
          <w:tcPr>
            <w:tcW w:w="3145" w:type="dxa"/>
          </w:tcPr>
          <w:p w14:paraId="6F7BD43E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Average Loan Size:</w:t>
            </w:r>
          </w:p>
        </w:tc>
        <w:tc>
          <w:tcPr>
            <w:tcW w:w="6205" w:type="dxa"/>
          </w:tcPr>
          <w:p w14:paraId="7C8A33AC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$326 - average fee of $56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5"/>
            </w:r>
          </w:p>
        </w:tc>
      </w:tr>
      <w:tr w:rsidR="006F4000" w14:paraId="333AC0A4" w14:textId="77777777">
        <w:trPr>
          <w:trHeight w:val="320"/>
        </w:trPr>
        <w:tc>
          <w:tcPr>
            <w:tcW w:w="3145" w:type="dxa"/>
          </w:tcPr>
          <w:p w14:paraId="180C1C34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Maximum loan amount and interest rate </w:t>
            </w:r>
          </w:p>
        </w:tc>
        <w:tc>
          <w:tcPr>
            <w:tcW w:w="6205" w:type="dxa"/>
          </w:tcPr>
          <w:p w14:paraId="23A2AFB0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$500 and 456%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6"/>
            </w:r>
          </w:p>
        </w:tc>
      </w:tr>
      <w:tr w:rsidR="006F4000" w14:paraId="4C08F2B7" w14:textId="77777777">
        <w:trPr>
          <w:trHeight w:val="320"/>
        </w:trPr>
        <w:tc>
          <w:tcPr>
            <w:tcW w:w="3145" w:type="dxa"/>
          </w:tcPr>
          <w:p w14:paraId="6FFD14EA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Maximum annual interest rate: </w:t>
            </w:r>
          </w:p>
        </w:tc>
        <w:tc>
          <w:tcPr>
            <w:tcW w:w="6205" w:type="dxa"/>
          </w:tcPr>
          <w:p w14:paraId="5B183DD5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456%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7"/>
            </w:r>
          </w:p>
        </w:tc>
      </w:tr>
      <w:tr w:rsidR="006F4000" w14:paraId="7C29CC8E" w14:textId="77777777">
        <w:trPr>
          <w:trHeight w:val="1480"/>
        </w:trPr>
        <w:tc>
          <w:tcPr>
            <w:tcW w:w="3145" w:type="dxa"/>
          </w:tcPr>
          <w:p w14:paraId="0E542442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City Specific Regulations:</w:t>
            </w:r>
          </w:p>
        </w:tc>
        <w:tc>
          <w:tcPr>
            <w:tcW w:w="6205" w:type="dxa"/>
          </w:tcPr>
          <w:p w14:paraId="4CFFC048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747 licensed payday lenders in 2016 - down from 1,100 in 2015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8"/>
            </w:r>
          </w:p>
          <w:p w14:paraId="0A806EDD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Maximum limit of $500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9"/>
            </w:r>
          </w:p>
        </w:tc>
      </w:tr>
      <w:tr w:rsidR="006F4000" w14:paraId="03E14722" w14:textId="77777777">
        <w:tc>
          <w:tcPr>
            <w:tcW w:w="3145" w:type="dxa"/>
          </w:tcPr>
          <w:p w14:paraId="6A994D3C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Consumer Example:</w:t>
            </w:r>
          </w:p>
        </w:tc>
        <w:tc>
          <w:tcPr>
            <w:tcW w:w="6205" w:type="dxa"/>
          </w:tcPr>
          <w:p w14:paraId="1634D522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Stephen Stetson, a policy analyst at Alabama Arise, said the repeat usage suggests tha</w:t>
            </w:r>
            <w:r>
              <w:rPr>
                <w:color w:val="333333"/>
                <w:sz w:val="24"/>
                <w:szCs w:val="24"/>
                <w:highlight w:val="white"/>
              </w:rPr>
              <w:t>t people are using the loans to pay recurring expenses and not just for emergencies. "These loans are marketed for emergency use only. If somebody is taking out that many in a year, it means they are using them to pay the bills," Stetson said.</w:t>
            </w:r>
            <w:r>
              <w:rPr>
                <w:color w:val="333333"/>
                <w:sz w:val="24"/>
                <w:szCs w:val="24"/>
                <w:highlight w:val="white"/>
                <w:vertAlign w:val="superscript"/>
              </w:rPr>
              <w:footnoteReference w:id="20"/>
            </w:r>
          </w:p>
        </w:tc>
      </w:tr>
      <w:tr w:rsidR="006F4000" w14:paraId="7CD41F29" w14:textId="77777777">
        <w:trPr>
          <w:trHeight w:val="1760"/>
        </w:trPr>
        <w:tc>
          <w:tcPr>
            <w:tcW w:w="3145" w:type="dxa"/>
          </w:tcPr>
          <w:p w14:paraId="7472854B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Notable News Stories:</w:t>
            </w:r>
          </w:p>
        </w:tc>
        <w:tc>
          <w:tcPr>
            <w:tcW w:w="6205" w:type="dxa"/>
          </w:tcPr>
          <w:p w14:paraId="687072F3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F6B2EA" w14:textId="77777777" w:rsidR="006F4000" w:rsidRDefault="00636F24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Alabama's toxic lending problem: Who cares?  </w:t>
            </w:r>
            <w:hyperlink r:id="rId15">
              <w:r>
                <w:rPr>
                  <w:color w:val="1155CC"/>
                  <w:u w:val="single"/>
                </w:rPr>
                <w:t>http://www.al.com/opinion/index.ssf/2017/05/alabamas_toxic_lending_problem.html</w:t>
              </w:r>
            </w:hyperlink>
            <w:r>
              <w:t xml:space="preserve"> </w:t>
            </w:r>
          </w:p>
          <w:p w14:paraId="5F3A7E4B" w14:textId="77777777" w:rsidR="006F4000" w:rsidRDefault="00636F24">
            <w:pPr>
              <w:numPr>
                <w:ilvl w:val="0"/>
                <w:numId w:val="1"/>
              </w:numPr>
              <w:spacing w:line="240" w:lineRule="auto"/>
            </w:pPr>
            <w:r>
              <w:t>Alabamia</w:t>
            </w:r>
            <w:r>
              <w:t xml:space="preserve">ns used payday loans two million times in 2015  </w:t>
            </w:r>
            <w:hyperlink r:id="rId16">
              <w:r>
                <w:rPr>
                  <w:color w:val="1155CC"/>
                  <w:u w:val="single"/>
                </w:rPr>
                <w:t>http://www.al.com/news/index.ssf/2016/09/alabamians_use_payday_loans_tw.html</w:t>
              </w:r>
            </w:hyperlink>
            <w:r>
              <w:t xml:space="preserve"> </w:t>
            </w:r>
          </w:p>
          <w:p w14:paraId="620BE16E" w14:textId="77777777" w:rsidR="006F4000" w:rsidRDefault="00636F24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Payday lending stores in Alabama: Facts and Issues </w:t>
            </w:r>
            <w:hyperlink r:id="rId17">
              <w:r>
                <w:rPr>
                  <w:color w:val="1155CC"/>
                  <w:u w:val="single"/>
                </w:rPr>
                <w:t>http://www.lwval.org/payday-lending/payday-lending-facts-&amp;-issues.pdf</w:t>
              </w:r>
            </w:hyperlink>
            <w:r>
              <w:t xml:space="preserve"> </w:t>
            </w:r>
          </w:p>
        </w:tc>
      </w:tr>
      <w:tr w:rsidR="006F4000" w14:paraId="74C489CF" w14:textId="77777777">
        <w:trPr>
          <w:trHeight w:val="720"/>
        </w:trPr>
        <w:tc>
          <w:tcPr>
            <w:tcW w:w="3145" w:type="dxa"/>
          </w:tcPr>
          <w:p w14:paraId="70BC5ECE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Political Connections</w:t>
            </w:r>
          </w:p>
        </w:tc>
        <w:tc>
          <w:tcPr>
            <w:tcW w:w="6205" w:type="dxa"/>
          </w:tcPr>
          <w:p w14:paraId="058DE8DE" w14:textId="77777777" w:rsidR="006F4000" w:rsidRDefault="00636F24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“Payday lenders gave m</w:t>
            </w:r>
            <w:r>
              <w:rPr>
                <w:color w:val="333333"/>
                <w:sz w:val="24"/>
                <w:szCs w:val="24"/>
                <w:highlight w:val="white"/>
              </w:rPr>
              <w:t>ore than $475,000 to lawmakers during the last election season, including top legislative leaders and members of key legislative committees.”</w:t>
            </w:r>
            <w:r>
              <w:rPr>
                <w:color w:val="333333"/>
                <w:sz w:val="24"/>
                <w:szCs w:val="24"/>
                <w:highlight w:val="white"/>
                <w:vertAlign w:val="superscript"/>
              </w:rPr>
              <w:footnoteReference w:id="21"/>
            </w:r>
          </w:p>
          <w:p w14:paraId="302B5302" w14:textId="77777777" w:rsidR="006F4000" w:rsidRDefault="006F4000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091C3CB6" w14:textId="77777777" w:rsidR="006F4000" w:rsidRDefault="00636F24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 Here are a few highlights from the results:  two-thirds of Alabamians support banning payday loans outright; 65</w:t>
            </w:r>
            <w:r>
              <w:rPr>
                <w:color w:val="333333"/>
                <w:sz w:val="24"/>
                <w:szCs w:val="24"/>
                <w:highlight w:val="white"/>
              </w:rPr>
              <w:t>% of Alabamians support a 36% APR cap on payday loans; 63% of Alabamians support banning high cost installment loans.</w:t>
            </w:r>
          </w:p>
          <w:p w14:paraId="1B51C273" w14:textId="77777777" w:rsidR="006F4000" w:rsidRDefault="006F4000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2A9D6F53" w14:textId="77777777" w:rsidR="006F4000" w:rsidRDefault="00636F24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 Lobbying efforts by lenders in 2002 resulted in the modification of the Alabama Small Loan Act that provided an alternative rate schedule increasing allowable loans to approximately 190% APR (Act 1959-374 Sect. 5-8-15, Alternative rate schedule, subsectio</w:t>
            </w:r>
            <w:r>
              <w:rPr>
                <w:color w:val="333333"/>
                <w:sz w:val="24"/>
                <w:szCs w:val="24"/>
                <w:highlight w:val="white"/>
              </w:rPr>
              <w:t>n (m)). In 2003, the Legislature passed the Deferred Presentment Act, carving out additional exceptions for small loans and setting the current APR at 456% (Act 2003-359)</w:t>
            </w:r>
            <w:r>
              <w:rPr>
                <w:color w:val="333333"/>
                <w:sz w:val="24"/>
                <w:szCs w:val="24"/>
                <w:highlight w:val="white"/>
                <w:vertAlign w:val="superscript"/>
              </w:rPr>
              <w:footnoteReference w:id="22"/>
            </w:r>
          </w:p>
        </w:tc>
      </w:tr>
    </w:tbl>
    <w:p w14:paraId="32E7AF0E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D337271" w14:textId="77777777" w:rsidR="006F4000" w:rsidRDefault="00636F24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Title Loans in Birmingham</w:t>
      </w:r>
    </w:p>
    <w:p w14:paraId="39BA4865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4945"/>
      </w:tblGrid>
      <w:tr w:rsidR="006F4000" w14:paraId="1F991808" w14:textId="77777777">
        <w:trPr>
          <w:trHeight w:val="320"/>
        </w:trPr>
        <w:tc>
          <w:tcPr>
            <w:tcW w:w="4405" w:type="dxa"/>
          </w:tcPr>
          <w:p w14:paraId="3A782189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Legal Status: </w:t>
            </w:r>
          </w:p>
        </w:tc>
        <w:tc>
          <w:tcPr>
            <w:tcW w:w="4945" w:type="dxa"/>
          </w:tcPr>
          <w:p w14:paraId="2DAB4C41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Legal</w:t>
            </w:r>
          </w:p>
        </w:tc>
      </w:tr>
      <w:tr w:rsidR="006F4000" w14:paraId="45DF32A7" w14:textId="77777777">
        <w:trPr>
          <w:trHeight w:val="320"/>
        </w:trPr>
        <w:tc>
          <w:tcPr>
            <w:tcW w:w="4405" w:type="dxa"/>
          </w:tcPr>
          <w:p w14:paraId="4F3BAA25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Auto-Title Loan Transactions in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labama</w:t>
            </w:r>
          </w:p>
        </w:tc>
        <w:tc>
          <w:tcPr>
            <w:tcW w:w="4945" w:type="dxa"/>
          </w:tcPr>
          <w:p w14:paraId="3EFB32F8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$357 million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23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152,544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24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672 title loan stores</w:t>
            </w:r>
          </w:p>
        </w:tc>
      </w:tr>
      <w:tr w:rsidR="006F4000" w14:paraId="6F30960A" w14:textId="77777777">
        <w:trPr>
          <w:trHeight w:val="320"/>
        </w:trPr>
        <w:tc>
          <w:tcPr>
            <w:tcW w:w="4405" w:type="dxa"/>
          </w:tcPr>
          <w:p w14:paraId="1EA7135A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Fee per $100:</w:t>
            </w:r>
          </w:p>
        </w:tc>
        <w:tc>
          <w:tcPr>
            <w:tcW w:w="4945" w:type="dxa"/>
          </w:tcPr>
          <w:p w14:paraId="0A9E1FA4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25% per month</w:t>
            </w:r>
          </w:p>
        </w:tc>
      </w:tr>
      <w:tr w:rsidR="006F4000" w14:paraId="6F3CBE0E" w14:textId="77777777">
        <w:trPr>
          <w:trHeight w:val="320"/>
        </w:trPr>
        <w:tc>
          <w:tcPr>
            <w:tcW w:w="4405" w:type="dxa"/>
          </w:tcPr>
          <w:p w14:paraId="35F8F811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% of Customers Refinancing:</w:t>
            </w:r>
          </w:p>
        </w:tc>
        <w:tc>
          <w:tcPr>
            <w:tcW w:w="4945" w:type="dxa"/>
          </w:tcPr>
          <w:p w14:paraId="2B517686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4000" w14:paraId="533E8AEF" w14:textId="77777777">
        <w:trPr>
          <w:trHeight w:val="320"/>
        </w:trPr>
        <w:tc>
          <w:tcPr>
            <w:tcW w:w="4405" w:type="dxa"/>
          </w:tcPr>
          <w:p w14:paraId="085414F4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Average Loan Size:</w:t>
            </w:r>
          </w:p>
        </w:tc>
        <w:tc>
          <w:tcPr>
            <w:tcW w:w="4945" w:type="dxa"/>
          </w:tcPr>
          <w:p w14:paraId="1CB47D7B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More than $1,000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25"/>
            </w:r>
          </w:p>
        </w:tc>
      </w:tr>
      <w:tr w:rsidR="006F4000" w14:paraId="68040ACA" w14:textId="77777777">
        <w:trPr>
          <w:trHeight w:val="320"/>
        </w:trPr>
        <w:tc>
          <w:tcPr>
            <w:tcW w:w="4405" w:type="dxa"/>
          </w:tcPr>
          <w:p w14:paraId="2164D5F5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Repossession Rate:</w:t>
            </w:r>
          </w:p>
        </w:tc>
        <w:tc>
          <w:tcPr>
            <w:tcW w:w="4945" w:type="dxa"/>
          </w:tcPr>
          <w:p w14:paraId="3470D765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in 5 nationally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26"/>
            </w:r>
          </w:p>
        </w:tc>
      </w:tr>
      <w:tr w:rsidR="006F4000" w14:paraId="250EAEDD" w14:textId="77777777">
        <w:trPr>
          <w:trHeight w:val="320"/>
        </w:trPr>
        <w:tc>
          <w:tcPr>
            <w:tcW w:w="4405" w:type="dxa"/>
          </w:tcPr>
          <w:p w14:paraId="7E1EE40F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 car title loan fees</w:t>
            </w:r>
          </w:p>
        </w:tc>
        <w:tc>
          <w:tcPr>
            <w:tcW w:w="4945" w:type="dxa"/>
          </w:tcPr>
          <w:p w14:paraId="02201D3F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300% APR</w:t>
            </w:r>
          </w:p>
        </w:tc>
      </w:tr>
      <w:tr w:rsidR="006F4000" w14:paraId="0BF702C6" w14:textId="77777777">
        <w:trPr>
          <w:trHeight w:val="320"/>
        </w:trPr>
        <w:tc>
          <w:tcPr>
            <w:tcW w:w="4405" w:type="dxa"/>
          </w:tcPr>
          <w:p w14:paraId="3F5717E0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Repossessions (transactions per repossession):</w:t>
            </w:r>
          </w:p>
        </w:tc>
        <w:tc>
          <w:tcPr>
            <w:tcW w:w="4945" w:type="dxa"/>
          </w:tcPr>
          <w:p w14:paraId="0B3BB0B7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6F4000" w14:paraId="74EFCFB2" w14:textId="77777777">
        <w:trPr>
          <w:trHeight w:val="920"/>
        </w:trPr>
        <w:tc>
          <w:tcPr>
            <w:tcW w:w="4405" w:type="dxa"/>
          </w:tcPr>
          <w:p w14:paraId="1E321271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City Specific Regulations:</w:t>
            </w:r>
          </w:p>
        </w:tc>
        <w:tc>
          <w:tcPr>
            <w:tcW w:w="4945" w:type="dxa"/>
          </w:tcPr>
          <w:p w14:paraId="01FA287C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Currently, title loans are governed by the Pawnshop Act, which allows 300 percent annual interest rates</w:t>
            </w:r>
            <w:r>
              <w:rPr>
                <w:color w:val="333333"/>
                <w:sz w:val="24"/>
                <w:szCs w:val="24"/>
                <w:highlight w:val="white"/>
                <w:vertAlign w:val="superscript"/>
              </w:rPr>
              <w:footnoteReference w:id="27"/>
            </w:r>
          </w:p>
        </w:tc>
      </w:tr>
      <w:tr w:rsidR="006F4000" w14:paraId="7F620448" w14:textId="77777777">
        <w:trPr>
          <w:trHeight w:val="260"/>
        </w:trPr>
        <w:tc>
          <w:tcPr>
            <w:tcW w:w="4405" w:type="dxa"/>
          </w:tcPr>
          <w:p w14:paraId="2EFFD7C7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Consumer Example:</w:t>
            </w:r>
          </w:p>
        </w:tc>
        <w:tc>
          <w:tcPr>
            <w:tcW w:w="4945" w:type="dxa"/>
          </w:tcPr>
          <w:p w14:paraId="2805BE4B" w14:textId="77777777" w:rsidR="006F4000" w:rsidRDefault="006F4000">
            <w:pP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F4000" w14:paraId="374A29DC" w14:textId="77777777">
        <w:trPr>
          <w:trHeight w:val="260"/>
        </w:trPr>
        <w:tc>
          <w:tcPr>
            <w:tcW w:w="4405" w:type="dxa"/>
          </w:tcPr>
          <w:p w14:paraId="6E4B3178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Notable facts</w:t>
            </w:r>
          </w:p>
        </w:tc>
        <w:tc>
          <w:tcPr>
            <w:tcW w:w="4945" w:type="dxa"/>
          </w:tcPr>
          <w:p w14:paraId="55B5B769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According to a 2006 report from the Consumer Federation of America, Alabama and Georgia are the only states in which a lender can keep the entire proceeds from the resale of a vehicle repossessed after a loan default. If a borrower defaults on payment of a</w:t>
            </w:r>
            <w:r>
              <w:rPr>
                <w:color w:val="333333"/>
                <w:sz w:val="24"/>
                <w:szCs w:val="24"/>
                <w:highlight w:val="white"/>
              </w:rPr>
              <w:t xml:space="preserve"> $1,500 loan on a $6,000 car, for example, the lending agency can repossess the car, resell it and legally keep the whole sum from the sale.</w:t>
            </w:r>
            <w:r>
              <w:rPr>
                <w:color w:val="333333"/>
                <w:sz w:val="24"/>
                <w:szCs w:val="24"/>
                <w:highlight w:val="white"/>
                <w:vertAlign w:val="superscript"/>
              </w:rPr>
              <w:footnoteReference w:id="28"/>
            </w:r>
          </w:p>
        </w:tc>
      </w:tr>
      <w:tr w:rsidR="006F4000" w14:paraId="66B8DEF0" w14:textId="77777777">
        <w:trPr>
          <w:trHeight w:val="260"/>
        </w:trPr>
        <w:tc>
          <w:tcPr>
            <w:tcW w:w="4405" w:type="dxa"/>
          </w:tcPr>
          <w:p w14:paraId="3334BA49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Notable News Stories:</w:t>
            </w:r>
          </w:p>
        </w:tc>
        <w:tc>
          <w:tcPr>
            <w:tcW w:w="4945" w:type="dxa"/>
          </w:tcPr>
          <w:p w14:paraId="08DB4270" w14:textId="77777777" w:rsidR="006F4000" w:rsidRDefault="00636F24">
            <w:pPr>
              <w:numPr>
                <w:ilvl w:val="0"/>
                <w:numId w:val="5"/>
              </w:numPr>
              <w:shd w:val="clear" w:color="auto" w:fill="FFFFFF"/>
              <w:spacing w:line="264" w:lineRule="auto"/>
              <w:contextualSpacing/>
              <w:rPr>
                <w:sz w:val="24"/>
                <w:szCs w:val="24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VIEWPOINTS: Alabama leads nation in car-title loan outlets</w:t>
              </w:r>
            </w:hyperlink>
          </w:p>
          <w:p w14:paraId="5E9073D7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D4D833D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1B0A424" w14:textId="77777777" w:rsidR="006F4000" w:rsidRDefault="00636F24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Fight Against Payday and Title Loans in Birmingham, AL</w:t>
      </w:r>
    </w:p>
    <w:p w14:paraId="7095988C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F4000" w14:paraId="4B0562C5" w14:textId="77777777">
        <w:trPr>
          <w:trHeight w:val="360"/>
        </w:trPr>
        <w:tc>
          <w:tcPr>
            <w:tcW w:w="4675" w:type="dxa"/>
          </w:tcPr>
          <w:p w14:paraId="360A17CB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Foundations for Help:</w:t>
            </w:r>
          </w:p>
        </w:tc>
        <w:tc>
          <w:tcPr>
            <w:tcW w:w="4675" w:type="dxa"/>
          </w:tcPr>
          <w:p w14:paraId="3C3F8490" w14:textId="77777777" w:rsidR="006F4000" w:rsidRDefault="00636F24">
            <w:pPr>
              <w:numPr>
                <w:ilvl w:val="0"/>
                <w:numId w:val="3"/>
              </w:numPr>
            </w:pPr>
            <w:hyperlink r:id="rId19">
              <w:r>
                <w:rPr>
                  <w:color w:val="1155CC"/>
                  <w:u w:val="single"/>
                </w:rPr>
                <w:t>Jefferson County Committee</w:t>
              </w:r>
              <w:r>
                <w:rPr>
                  <w:color w:val="1155CC"/>
                  <w:u w:val="single"/>
                </w:rPr>
                <w:tab/>
              </w:r>
              <w:r>
                <w:rPr>
                  <w:color w:val="1155CC"/>
                  <w:u w:val="single"/>
                </w:rPr>
                <w:t>for Economic Opportunity</w:t>
              </w:r>
            </w:hyperlink>
          </w:p>
          <w:p w14:paraId="6BCD5C88" w14:textId="77777777" w:rsidR="006F4000" w:rsidRDefault="00636F2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  <w:hyperlink r:id="rId20">
              <w:r>
                <w:rPr>
                  <w:color w:val="1155CC"/>
                  <w:u w:val="single"/>
                </w:rPr>
                <w:t>Neighborhood Housing Services of Birmingham, Inc.</w:t>
              </w:r>
            </w:hyperlink>
          </w:p>
          <w:p w14:paraId="4063AD8A" w14:textId="77777777" w:rsidR="006F4000" w:rsidRDefault="00636F2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United Way 211</w:t>
              </w:r>
            </w:hyperlink>
          </w:p>
        </w:tc>
      </w:tr>
      <w:tr w:rsidR="006F4000" w14:paraId="696D2D54" w14:textId="77777777">
        <w:tc>
          <w:tcPr>
            <w:tcW w:w="4675" w:type="dxa"/>
          </w:tcPr>
          <w:p w14:paraId="28AAFF07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30672C1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4000" w14:paraId="4C85642B" w14:textId="77777777">
        <w:tc>
          <w:tcPr>
            <w:tcW w:w="4675" w:type="dxa"/>
          </w:tcPr>
          <w:p w14:paraId="1C70D9D7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Legal Assistance: </w:t>
            </w:r>
          </w:p>
        </w:tc>
        <w:tc>
          <w:tcPr>
            <w:tcW w:w="4675" w:type="dxa"/>
          </w:tcPr>
          <w:p w14:paraId="3061DD48" w14:textId="77777777" w:rsidR="006F4000" w:rsidRDefault="00636F24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Legal Aid Society of Birmingham</w:t>
              </w:r>
            </w:hyperlink>
          </w:p>
          <w:p w14:paraId="3572D445" w14:textId="77777777" w:rsidR="006F4000" w:rsidRDefault="00636F24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Legal Services Alabama</w:t>
              </w:r>
            </w:hyperlink>
          </w:p>
          <w:p w14:paraId="11462EFD" w14:textId="77777777" w:rsidR="006F4000" w:rsidRDefault="00636F24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Birmingham Bar Volunteer Lawyers Program</w:t>
              </w:r>
            </w:hyperlink>
          </w:p>
        </w:tc>
      </w:tr>
      <w:tr w:rsidR="006F4000" w14:paraId="47CB66B3" w14:textId="77777777">
        <w:tc>
          <w:tcPr>
            <w:tcW w:w="4675" w:type="dxa"/>
          </w:tcPr>
          <w:p w14:paraId="3460B1AB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Notab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 News Stories on Helping Consumers:</w:t>
            </w:r>
          </w:p>
        </w:tc>
        <w:tc>
          <w:tcPr>
            <w:tcW w:w="4675" w:type="dxa"/>
          </w:tcPr>
          <w:p w14:paraId="7C8CC41C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With 239,000 Alabamians using payday loans, Alabama Sen. Arthur Orr wants industry reform</w:t>
              </w:r>
            </w:hyperlink>
          </w:p>
          <w:p w14:paraId="3F4C61F4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56AA2D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4000" w14:paraId="3480A42F" w14:textId="77777777">
        <w:tc>
          <w:tcPr>
            <w:tcW w:w="4675" w:type="dxa"/>
          </w:tcPr>
          <w:p w14:paraId="612FBFA9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D8A00A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6275EFD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F4000" w14:paraId="5EBFB298" w14:textId="77777777">
        <w:tc>
          <w:tcPr>
            <w:tcW w:w="4675" w:type="dxa"/>
          </w:tcPr>
          <w:p w14:paraId="6F73E76D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Regulator: </w:t>
            </w:r>
          </w:p>
        </w:tc>
        <w:tc>
          <w:tcPr>
            <w:tcW w:w="4675" w:type="dxa"/>
          </w:tcPr>
          <w:p w14:paraId="4C82206E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State of Alabama</w:t>
            </w:r>
          </w:p>
          <w:p w14:paraId="37230217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State Banking Department</w:t>
            </w:r>
          </w:p>
          <w:p w14:paraId="5513F5EF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ATTN: Consumer Lending</w:t>
            </w:r>
          </w:p>
          <w:p w14:paraId="79CEB9E5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P.O. Box 4600</w:t>
            </w:r>
          </w:p>
          <w:p w14:paraId="0ABE91DC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Montgomery, AL 36103-4600</w:t>
            </w:r>
          </w:p>
          <w:p w14:paraId="4BEE6E93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Consumer.Lending@banking.alabama.gov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14:paraId="1514EC73" w14:textId="77777777" w:rsidR="006F4000" w:rsidRDefault="00636F2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(334)242-3452</w:t>
            </w:r>
          </w:p>
        </w:tc>
      </w:tr>
      <w:tr w:rsidR="006F4000" w14:paraId="63800FD0" w14:textId="77777777">
        <w:tc>
          <w:tcPr>
            <w:tcW w:w="4675" w:type="dxa"/>
          </w:tcPr>
          <w:p w14:paraId="7B33619C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D348931" w14:textId="77777777" w:rsidR="006F4000" w:rsidRDefault="006F4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EB97DF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2E22C5" w14:textId="77777777" w:rsidR="006F4000" w:rsidRDefault="006F40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F8DAD2" w14:textId="77777777" w:rsidR="006F4000" w:rsidRDefault="00636F2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References:</w:t>
      </w:r>
    </w:p>
    <w:p w14:paraId="14EFA2C7" w14:textId="77777777" w:rsidR="006F4000" w:rsidRDefault="00636F24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Alabama's toxic lending problem: Who cares?  </w:t>
      </w:r>
      <w:hyperlink r:id="rId27">
        <w:r>
          <w:rPr>
            <w:color w:val="1155CC"/>
            <w:u w:val="single"/>
          </w:rPr>
          <w:t>http://www.al.com/opinion/index.ssf/2017/05/alabamas_toxic_lending_problem.html</w:t>
        </w:r>
      </w:hyperlink>
      <w:r>
        <w:t xml:space="preserve"> </w:t>
      </w:r>
    </w:p>
    <w:p w14:paraId="484462C4" w14:textId="77777777" w:rsidR="006F4000" w:rsidRDefault="00636F24">
      <w:pPr>
        <w:numPr>
          <w:ilvl w:val="0"/>
          <w:numId w:val="4"/>
        </w:numPr>
        <w:spacing w:line="240" w:lineRule="auto"/>
      </w:pPr>
      <w:r>
        <w:t>Alabamians used payday loans tw</w:t>
      </w:r>
      <w:r>
        <w:t xml:space="preserve">o million times in 2015  </w:t>
      </w:r>
      <w:hyperlink r:id="rId28">
        <w:r>
          <w:rPr>
            <w:color w:val="1155CC"/>
            <w:u w:val="single"/>
          </w:rPr>
          <w:t>http://www.al.com/news/index.ssf/2016/09/alabamians_use_payday_loans_tw.html</w:t>
        </w:r>
      </w:hyperlink>
      <w:r>
        <w:t xml:space="preserve"> </w:t>
      </w:r>
    </w:p>
    <w:p w14:paraId="028DD512" w14:textId="77777777" w:rsidR="006F4000" w:rsidRDefault="00636F24">
      <w:pPr>
        <w:numPr>
          <w:ilvl w:val="0"/>
          <w:numId w:val="4"/>
        </w:numPr>
        <w:spacing w:line="240" w:lineRule="auto"/>
      </w:pPr>
      <w:r>
        <w:t xml:space="preserve">Payday lending stores in Alabama: Facts and Issues </w:t>
      </w:r>
      <w:hyperlink r:id="rId29">
        <w:r>
          <w:rPr>
            <w:color w:val="1155CC"/>
            <w:u w:val="single"/>
          </w:rPr>
          <w:t>http://www.lwval.org/payday-lending/payday-lending-facts-&amp;-issues.pdf</w:t>
        </w:r>
      </w:hyperlink>
      <w:r>
        <w:t xml:space="preserve"> </w:t>
      </w:r>
    </w:p>
    <w:p w14:paraId="1633BB2E" w14:textId="77777777" w:rsidR="006F4000" w:rsidRDefault="00636F24">
      <w:pPr>
        <w:numPr>
          <w:ilvl w:val="0"/>
          <w:numId w:val="4"/>
        </w:numPr>
        <w:shd w:val="clear" w:color="auto" w:fill="FFFFFF"/>
        <w:spacing w:line="264" w:lineRule="auto"/>
        <w:contextualSpacing/>
        <w:rPr>
          <w:sz w:val="24"/>
          <w:szCs w:val="24"/>
        </w:rPr>
      </w:pPr>
      <w:hyperlink r:id="rId3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VIEWPOINTS: Alabama leads nation in car-title loan outlets</w:t>
        </w:r>
      </w:hyperlink>
    </w:p>
    <w:p w14:paraId="59A08A8F" w14:textId="77777777" w:rsidR="006F4000" w:rsidRDefault="006F4000">
      <w:pPr>
        <w:numPr>
          <w:ilvl w:val="0"/>
          <w:numId w:val="4"/>
        </w:numPr>
        <w:spacing w:line="240" w:lineRule="auto"/>
      </w:pPr>
    </w:p>
    <w:sectPr w:rsidR="006F40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EC1F" w14:textId="77777777" w:rsidR="00636F24" w:rsidRDefault="00636F24">
      <w:pPr>
        <w:spacing w:line="240" w:lineRule="auto"/>
      </w:pPr>
      <w:r>
        <w:separator/>
      </w:r>
    </w:p>
  </w:endnote>
  <w:endnote w:type="continuationSeparator" w:id="0">
    <w:p w14:paraId="47AD8A96" w14:textId="77777777" w:rsidR="00636F24" w:rsidRDefault="00636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11DE" w14:textId="77777777" w:rsidR="00636F24" w:rsidRDefault="00636F24">
      <w:pPr>
        <w:spacing w:line="240" w:lineRule="auto"/>
      </w:pPr>
      <w:r>
        <w:separator/>
      </w:r>
    </w:p>
  </w:footnote>
  <w:footnote w:type="continuationSeparator" w:id="0">
    <w:p w14:paraId="4BD6EB1F" w14:textId="77777777" w:rsidR="00636F24" w:rsidRDefault="00636F24">
      <w:pPr>
        <w:spacing w:line="240" w:lineRule="auto"/>
      </w:pPr>
      <w:r>
        <w:continuationSeparator/>
      </w:r>
    </w:p>
  </w:footnote>
  <w:footnote w:id="1">
    <w:p w14:paraId="0E15B01C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Census Bureau </w:t>
      </w:r>
      <w:hyperlink r:id="rId1" w:anchor="viewtop">
        <w:r>
          <w:rPr>
            <w:color w:val="1155CC"/>
            <w:sz w:val="20"/>
            <w:szCs w:val="20"/>
            <w:u w:val="single"/>
          </w:rPr>
          <w:t>https://www.census.gov/quickfacts/fact/map/birminghamcityalabama/PST045216#viewtop</w:t>
        </w:r>
      </w:hyperlink>
      <w:r>
        <w:rPr>
          <w:sz w:val="20"/>
          <w:szCs w:val="20"/>
        </w:rPr>
        <w:t xml:space="preserve"> </w:t>
      </w:r>
    </w:p>
  </w:footnote>
  <w:footnote w:id="2">
    <w:p w14:paraId="7111CB4E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Census Bureau </w:t>
      </w:r>
      <w:hyperlink r:id="rId2" w:anchor="viewtop">
        <w:r>
          <w:rPr>
            <w:color w:val="1155CC"/>
            <w:sz w:val="20"/>
            <w:szCs w:val="20"/>
            <w:u w:val="single"/>
          </w:rPr>
          <w:t>https://www.census.gov/quickfacts/fact/map/birmin</w:t>
        </w:r>
        <w:r>
          <w:rPr>
            <w:color w:val="1155CC"/>
            <w:sz w:val="20"/>
            <w:szCs w:val="20"/>
            <w:u w:val="single"/>
          </w:rPr>
          <w:t>ghamcityalabama/PST045216#viewtop</w:t>
        </w:r>
      </w:hyperlink>
      <w:r>
        <w:rPr>
          <w:sz w:val="20"/>
          <w:szCs w:val="20"/>
        </w:rPr>
        <w:t xml:space="preserve"> </w:t>
      </w:r>
    </w:p>
  </w:footnote>
  <w:footnote w:id="3">
    <w:p w14:paraId="52B164D3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Bureau of Labor Statistics </w:t>
      </w:r>
      <w:hyperlink r:id="rId3">
        <w:r>
          <w:rPr>
            <w:color w:val="1155CC"/>
            <w:sz w:val="20"/>
            <w:szCs w:val="20"/>
            <w:u w:val="single"/>
          </w:rPr>
          <w:t>https://www.bls.gov/eag/eag.al_birmingham_msa.htm</w:t>
        </w:r>
      </w:hyperlink>
      <w:r>
        <w:rPr>
          <w:sz w:val="20"/>
          <w:szCs w:val="20"/>
        </w:rPr>
        <w:t xml:space="preserve"> </w:t>
      </w:r>
    </w:p>
  </w:footnote>
  <w:footnote w:id="4">
    <w:p w14:paraId="7A75C54C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Birmingham Business Journal </w:t>
      </w:r>
      <w:hyperlink r:id="rId4">
        <w:r>
          <w:rPr>
            <w:color w:val="1155CC"/>
            <w:sz w:val="20"/>
            <w:szCs w:val="20"/>
            <w:u w:val="single"/>
          </w:rPr>
          <w:t>https://www.bizjournals.com/birmingham/news/2017/08/30/alabama-job-growth-expected-to-pick-up-the-pace-in.html</w:t>
        </w:r>
      </w:hyperlink>
      <w:r>
        <w:rPr>
          <w:sz w:val="20"/>
          <w:szCs w:val="20"/>
        </w:rPr>
        <w:t xml:space="preserve"> </w:t>
      </w:r>
    </w:p>
  </w:footnote>
  <w:footnote w:id="5">
    <w:p w14:paraId="131EDBDD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20"/>
            <w:szCs w:val="20"/>
            <w:u w:val="single"/>
          </w:rPr>
          <w:t>https://www.reuters.com/article/us-usa-alabama-jeffersoncounty1/alabama-county-files-biggest-municipal-bankruptcy-idUSTRE7A94CP20111110</w:t>
        </w:r>
      </w:hyperlink>
      <w:r>
        <w:rPr>
          <w:sz w:val="20"/>
          <w:szCs w:val="20"/>
        </w:rPr>
        <w:t xml:space="preserve"> </w:t>
      </w:r>
    </w:p>
  </w:footnote>
  <w:footnote w:id="6">
    <w:p w14:paraId="21E56C74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6">
        <w:r>
          <w:rPr>
            <w:color w:val="1155CC"/>
            <w:sz w:val="20"/>
            <w:szCs w:val="20"/>
            <w:u w:val="single"/>
          </w:rPr>
          <w:t>http://parcalabama.org/wp-content/uploads/2017/04/How-Alabama-City-Finances-Compare.pdf</w:t>
        </w:r>
      </w:hyperlink>
      <w:r>
        <w:rPr>
          <w:sz w:val="20"/>
          <w:szCs w:val="20"/>
        </w:rPr>
        <w:t xml:space="preserve"> </w:t>
      </w:r>
    </w:p>
  </w:footnote>
  <w:footnote w:id="7">
    <w:p w14:paraId="797E5655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Living Wage Ca</w:t>
      </w:r>
      <w:r>
        <w:rPr>
          <w:sz w:val="20"/>
          <w:szCs w:val="20"/>
        </w:rPr>
        <w:t xml:space="preserve">lculator </w:t>
      </w:r>
      <w:hyperlink r:id="rId7">
        <w:r>
          <w:rPr>
            <w:color w:val="1155CC"/>
            <w:sz w:val="20"/>
            <w:szCs w:val="20"/>
            <w:u w:val="single"/>
          </w:rPr>
          <w:t>http://livingwage.mit.edu/counties/01073</w:t>
        </w:r>
      </w:hyperlink>
      <w:r>
        <w:rPr>
          <w:sz w:val="20"/>
          <w:szCs w:val="20"/>
        </w:rPr>
        <w:t xml:space="preserve"> </w:t>
      </w:r>
    </w:p>
  </w:footnote>
  <w:footnote w:id="8">
    <w:p w14:paraId="7EC303EB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8">
        <w:r>
          <w:rPr>
            <w:color w:val="1155CC"/>
            <w:sz w:val="20"/>
            <w:szCs w:val="20"/>
            <w:u w:val="single"/>
          </w:rPr>
          <w:t>http://livingwage.mit.edu/counties/01073</w:t>
        </w:r>
      </w:hyperlink>
      <w:r>
        <w:rPr>
          <w:sz w:val="20"/>
          <w:szCs w:val="20"/>
        </w:rPr>
        <w:t xml:space="preserve"> </w:t>
      </w:r>
    </w:p>
  </w:footnote>
  <w:footnote w:id="9">
    <w:p w14:paraId="1A7A571E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9">
        <w:r>
          <w:rPr>
            <w:color w:val="1155CC"/>
            <w:sz w:val="20"/>
            <w:szCs w:val="20"/>
            <w:u w:val="single"/>
          </w:rPr>
          <w:t>http://www.deptofnumbers.com/income/alabama/birmingham/</w:t>
        </w:r>
      </w:hyperlink>
      <w:r>
        <w:rPr>
          <w:sz w:val="20"/>
          <w:szCs w:val="20"/>
        </w:rPr>
        <w:t xml:space="preserve"> </w:t>
      </w:r>
    </w:p>
  </w:footnote>
  <w:footnote w:id="10">
    <w:p w14:paraId="626CE067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0">
        <w:r>
          <w:rPr>
            <w:color w:val="1155CC"/>
            <w:sz w:val="20"/>
            <w:szCs w:val="20"/>
            <w:u w:val="single"/>
          </w:rPr>
          <w:t>http://livingwage.mit.edu/counties/01073</w:t>
        </w:r>
      </w:hyperlink>
      <w:r>
        <w:rPr>
          <w:sz w:val="20"/>
          <w:szCs w:val="20"/>
        </w:rPr>
        <w:t xml:space="preserve"> </w:t>
      </w:r>
    </w:p>
  </w:footnote>
  <w:footnote w:id="11">
    <w:p w14:paraId="05E9CCB4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1">
        <w:r>
          <w:rPr>
            <w:color w:val="1155CC"/>
            <w:sz w:val="20"/>
            <w:szCs w:val="20"/>
            <w:u w:val="single"/>
          </w:rPr>
          <w:t>http</w:t>
        </w:r>
        <w:r>
          <w:rPr>
            <w:color w:val="1155CC"/>
            <w:sz w:val="20"/>
            <w:szCs w:val="20"/>
            <w:u w:val="single"/>
          </w:rPr>
          <w:t>://www.deptofnumbers.com/rent/alabama/birmingham/</w:t>
        </w:r>
      </w:hyperlink>
      <w:r>
        <w:rPr>
          <w:sz w:val="20"/>
          <w:szCs w:val="20"/>
        </w:rPr>
        <w:t xml:space="preserve"> </w:t>
      </w:r>
    </w:p>
  </w:footnote>
  <w:footnote w:id="12">
    <w:p w14:paraId="755EBD79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2">
        <w:r>
          <w:rPr>
            <w:color w:val="1155CC"/>
            <w:sz w:val="20"/>
            <w:szCs w:val="20"/>
            <w:u w:val="single"/>
          </w:rPr>
          <w:t>http://www.al.com/news/index.ssf/2016/09/alabamians_use_payday_loans_tw.html</w:t>
        </w:r>
      </w:hyperlink>
      <w:r>
        <w:rPr>
          <w:sz w:val="20"/>
          <w:szCs w:val="20"/>
        </w:rPr>
        <w:t xml:space="preserve"> </w:t>
      </w:r>
    </w:p>
  </w:footnote>
  <w:footnote w:id="13">
    <w:p w14:paraId="4E97D1FA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3">
        <w:r>
          <w:rPr>
            <w:color w:val="1155CC"/>
            <w:sz w:val="20"/>
            <w:szCs w:val="20"/>
            <w:u w:val="single"/>
          </w:rPr>
          <w:t>http://www.lwval.org/payday-lending/payday-lending-facts-&amp;-issues.pdf</w:t>
        </w:r>
      </w:hyperlink>
      <w:r>
        <w:rPr>
          <w:sz w:val="20"/>
          <w:szCs w:val="20"/>
        </w:rPr>
        <w:t xml:space="preserve"> </w:t>
      </w:r>
    </w:p>
  </w:footnote>
  <w:footnote w:id="14">
    <w:p w14:paraId="315F49F3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4">
        <w:r>
          <w:rPr>
            <w:color w:val="1155CC"/>
            <w:sz w:val="20"/>
            <w:szCs w:val="20"/>
            <w:u w:val="single"/>
          </w:rPr>
          <w:t>http://www.lwval.org/payday-lending/payday-lending-facts-&amp;-issues.pdf</w:t>
        </w:r>
      </w:hyperlink>
      <w:r>
        <w:rPr>
          <w:sz w:val="20"/>
          <w:szCs w:val="20"/>
        </w:rPr>
        <w:t xml:space="preserve"> </w:t>
      </w:r>
    </w:p>
  </w:footnote>
  <w:footnote w:id="15">
    <w:p w14:paraId="2FA4B8DC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5">
        <w:r>
          <w:rPr>
            <w:color w:val="1155CC"/>
            <w:sz w:val="20"/>
            <w:szCs w:val="20"/>
            <w:u w:val="single"/>
          </w:rPr>
          <w:t>http://www.al.com/news/index.ssf/2016/09/alabamians_use_payday_loans_tw.html</w:t>
        </w:r>
      </w:hyperlink>
      <w:r>
        <w:rPr>
          <w:sz w:val="20"/>
          <w:szCs w:val="20"/>
        </w:rPr>
        <w:t xml:space="preserve"> </w:t>
      </w:r>
    </w:p>
  </w:footnote>
  <w:footnote w:id="16">
    <w:p w14:paraId="5D5491A2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6">
        <w:r>
          <w:rPr>
            <w:color w:val="1155CC"/>
            <w:sz w:val="20"/>
            <w:szCs w:val="20"/>
            <w:u w:val="single"/>
          </w:rPr>
          <w:t>http://www.al.com/opinion/index.ssf/2017/05/alabamas_toxic_lending_problem.html</w:t>
        </w:r>
      </w:hyperlink>
      <w:r>
        <w:rPr>
          <w:sz w:val="20"/>
          <w:szCs w:val="20"/>
        </w:rPr>
        <w:t xml:space="preserve"> </w:t>
      </w:r>
    </w:p>
  </w:footnote>
  <w:footnote w:id="17">
    <w:p w14:paraId="1063D928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7">
        <w:r>
          <w:rPr>
            <w:color w:val="1155CC"/>
            <w:sz w:val="20"/>
            <w:szCs w:val="20"/>
            <w:u w:val="single"/>
          </w:rPr>
          <w:t>http://www.al.com/opinion/index.ssf/2017/05/alabamas_to</w:t>
        </w:r>
        <w:r>
          <w:rPr>
            <w:color w:val="1155CC"/>
            <w:sz w:val="20"/>
            <w:szCs w:val="20"/>
            <w:u w:val="single"/>
          </w:rPr>
          <w:t>xic_lending_problem.html</w:t>
        </w:r>
      </w:hyperlink>
      <w:r>
        <w:rPr>
          <w:sz w:val="20"/>
          <w:szCs w:val="20"/>
        </w:rPr>
        <w:t xml:space="preserve"> </w:t>
      </w:r>
    </w:p>
  </w:footnote>
  <w:footnote w:id="18">
    <w:p w14:paraId="618E9D2F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8">
        <w:r>
          <w:rPr>
            <w:color w:val="1155CC"/>
            <w:sz w:val="20"/>
            <w:szCs w:val="20"/>
            <w:u w:val="single"/>
          </w:rPr>
          <w:t>http://www.al.com/news/index.ssf/2016/09/alabamians_use_payday_loans_tw.html</w:t>
        </w:r>
      </w:hyperlink>
      <w:r>
        <w:rPr>
          <w:sz w:val="20"/>
          <w:szCs w:val="20"/>
        </w:rPr>
        <w:t xml:space="preserve"> </w:t>
      </w:r>
    </w:p>
  </w:footnote>
  <w:footnote w:id="19">
    <w:p w14:paraId="3731031E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9">
        <w:r>
          <w:rPr>
            <w:color w:val="1155CC"/>
            <w:sz w:val="20"/>
            <w:szCs w:val="20"/>
            <w:u w:val="single"/>
          </w:rPr>
          <w:t>http://www.al.com/news/index.ssf/2016/09/alabamians_use_payday_loans_tw.html</w:t>
        </w:r>
      </w:hyperlink>
      <w:r>
        <w:rPr>
          <w:sz w:val="20"/>
          <w:szCs w:val="20"/>
        </w:rPr>
        <w:t xml:space="preserve"> </w:t>
      </w:r>
    </w:p>
  </w:footnote>
  <w:footnote w:id="20">
    <w:p w14:paraId="6E517714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0">
        <w:r>
          <w:rPr>
            <w:color w:val="1155CC"/>
            <w:sz w:val="20"/>
            <w:szCs w:val="20"/>
            <w:u w:val="single"/>
          </w:rPr>
          <w:t>http://www.al.com/news/index.ssf/2016/09/alabamians_use_payday_loans_tw.html</w:t>
        </w:r>
      </w:hyperlink>
      <w:r>
        <w:rPr>
          <w:sz w:val="20"/>
          <w:szCs w:val="20"/>
        </w:rPr>
        <w:t xml:space="preserve"> </w:t>
      </w:r>
    </w:p>
  </w:footnote>
  <w:footnote w:id="21">
    <w:p w14:paraId="46522AA8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1">
        <w:r>
          <w:rPr>
            <w:color w:val="1155CC"/>
            <w:sz w:val="20"/>
            <w:szCs w:val="20"/>
            <w:u w:val="single"/>
          </w:rPr>
          <w:t>http://www.al.com/opinion/index.ssf/2017/05/alabamas_toxic_lending_problem.html</w:t>
        </w:r>
      </w:hyperlink>
      <w:r>
        <w:rPr>
          <w:sz w:val="20"/>
          <w:szCs w:val="20"/>
        </w:rPr>
        <w:t xml:space="preserve"> </w:t>
      </w:r>
    </w:p>
  </w:footnote>
  <w:footnote w:id="22">
    <w:p w14:paraId="593B5A8D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2">
        <w:r>
          <w:rPr>
            <w:color w:val="1155CC"/>
            <w:sz w:val="20"/>
            <w:szCs w:val="20"/>
            <w:u w:val="single"/>
          </w:rPr>
          <w:t>http://www.lwval.org/payday-lending/payday-lending-</w:t>
        </w:r>
        <w:r>
          <w:rPr>
            <w:color w:val="1155CC"/>
            <w:sz w:val="20"/>
            <w:szCs w:val="20"/>
            <w:u w:val="single"/>
          </w:rPr>
          <w:t>facts-&amp;-issues.pdf</w:t>
        </w:r>
      </w:hyperlink>
      <w:r>
        <w:rPr>
          <w:sz w:val="20"/>
          <w:szCs w:val="20"/>
        </w:rPr>
        <w:t xml:space="preserve"> </w:t>
      </w:r>
    </w:p>
  </w:footnote>
  <w:footnote w:id="23">
    <w:p w14:paraId="550DC629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3">
        <w:r>
          <w:rPr>
            <w:color w:val="1155CC"/>
            <w:sz w:val="20"/>
            <w:szCs w:val="20"/>
            <w:u w:val="single"/>
          </w:rPr>
          <w:t>http://blog.credit.com/2016/05/1-in-5-auto-title-loan-borrowers-have-their-vehicle-seized-144700/</w:t>
        </w:r>
      </w:hyperlink>
      <w:r>
        <w:rPr>
          <w:sz w:val="20"/>
          <w:szCs w:val="20"/>
        </w:rPr>
        <w:t xml:space="preserve"> </w:t>
      </w:r>
    </w:p>
  </w:footnote>
  <w:footnote w:id="24">
    <w:p w14:paraId="0C78052A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4">
        <w:r>
          <w:rPr>
            <w:color w:val="1155CC"/>
            <w:sz w:val="20"/>
            <w:szCs w:val="20"/>
            <w:u w:val="single"/>
          </w:rPr>
          <w:t>http://www.responsiblelending.org/state-of-lending/reports/7-Car-Title-Loans.pdf</w:t>
        </w:r>
      </w:hyperlink>
      <w:r>
        <w:rPr>
          <w:sz w:val="20"/>
          <w:szCs w:val="20"/>
        </w:rPr>
        <w:t xml:space="preserve"> </w:t>
      </w:r>
    </w:p>
  </w:footnote>
  <w:footnote w:id="25">
    <w:p w14:paraId="736ACFCE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5">
        <w:r>
          <w:rPr>
            <w:color w:val="258FAF"/>
            <w:sz w:val="23"/>
            <w:szCs w:val="23"/>
            <w:u w:val="single"/>
            <w:shd w:val="clear" w:color="auto" w:fill="FEFEFE"/>
          </w:rPr>
          <w:t>https://www.sapling.com/6820766/alabama-laws-title-loans</w:t>
        </w:r>
      </w:hyperlink>
      <w:r>
        <w:rPr>
          <w:sz w:val="20"/>
          <w:szCs w:val="20"/>
        </w:rPr>
        <w:t xml:space="preserve"> </w:t>
      </w:r>
    </w:p>
  </w:footnote>
  <w:footnote w:id="26">
    <w:p w14:paraId="63B310D6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http://blog.credit.com/2016/05/1-in-5-auto-title-loan-borrowers-have-their-vehicle-seized-144700/</w:t>
      </w:r>
    </w:p>
  </w:footnote>
  <w:footnote w:id="27">
    <w:p w14:paraId="6799DD72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6">
        <w:r>
          <w:rPr>
            <w:color w:val="1155CC"/>
            <w:sz w:val="20"/>
            <w:szCs w:val="20"/>
            <w:u w:val="single"/>
          </w:rPr>
          <w:t>http://blog.al.co</w:t>
        </w:r>
        <w:r>
          <w:rPr>
            <w:color w:val="1155CC"/>
            <w:sz w:val="20"/>
            <w:szCs w:val="20"/>
            <w:u w:val="single"/>
          </w:rPr>
          <w:t>m/birmingham-news-commentary/2012/09/viewpoints_alabama_leads_natio.html</w:t>
        </w:r>
      </w:hyperlink>
      <w:r>
        <w:rPr>
          <w:sz w:val="20"/>
          <w:szCs w:val="20"/>
        </w:rPr>
        <w:t xml:space="preserve"> </w:t>
      </w:r>
    </w:p>
  </w:footnote>
  <w:footnote w:id="28">
    <w:p w14:paraId="14D15A59" w14:textId="77777777" w:rsidR="006F4000" w:rsidRDefault="00636F2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7">
        <w:r>
          <w:rPr>
            <w:color w:val="1155CC"/>
            <w:sz w:val="20"/>
            <w:szCs w:val="20"/>
            <w:u w:val="single"/>
          </w:rPr>
          <w:t>http://blog.al.com/birmingham-news-commentary/2012/09/viewpoints_alabama_leads_natio.html</w:t>
        </w:r>
      </w:hyperlink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0554"/>
    <w:multiLevelType w:val="multilevel"/>
    <w:tmpl w:val="380CA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8E3317"/>
    <w:multiLevelType w:val="multilevel"/>
    <w:tmpl w:val="76B451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69FE"/>
    <w:multiLevelType w:val="multilevel"/>
    <w:tmpl w:val="1E3AE1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6CC0F6D"/>
    <w:multiLevelType w:val="multilevel"/>
    <w:tmpl w:val="15B66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E86058C"/>
    <w:multiLevelType w:val="multilevel"/>
    <w:tmpl w:val="F1C24E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762129DA"/>
    <w:multiLevelType w:val="multilevel"/>
    <w:tmpl w:val="B044C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4000"/>
    <w:rsid w:val="004952FC"/>
    <w:rsid w:val="00636F24"/>
    <w:rsid w:val="006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BA9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ddicted.org/addiction-services-birmingham.html" TargetMode="External"/><Relationship Id="rId20" Type="http://schemas.openxmlformats.org/officeDocument/2006/relationships/hyperlink" Target="http://nhsbham.org/budget-management-credit-counseling/" TargetMode="External"/><Relationship Id="rId21" Type="http://schemas.openxmlformats.org/officeDocument/2006/relationships/hyperlink" Target="http://www.211connectsalabama.org/life-skills/" TargetMode="External"/><Relationship Id="rId22" Type="http://schemas.openxmlformats.org/officeDocument/2006/relationships/hyperlink" Target="http://www.legalaidbirmingham.com/" TargetMode="External"/><Relationship Id="rId23" Type="http://schemas.openxmlformats.org/officeDocument/2006/relationships/hyperlink" Target="https://www.legalservicesalabama.org/" TargetMode="External"/><Relationship Id="rId24" Type="http://schemas.openxmlformats.org/officeDocument/2006/relationships/hyperlink" Target="http://vlpbirmingham.org/" TargetMode="External"/><Relationship Id="rId25" Type="http://schemas.openxmlformats.org/officeDocument/2006/relationships/hyperlink" Target="http://blog.al.com/birmingham-news-commentary/2012/09/viewpoints_alabama_leads_natio.html" TargetMode="External"/><Relationship Id="rId26" Type="http://schemas.openxmlformats.org/officeDocument/2006/relationships/hyperlink" Target="mailto:Consumer.Lending@banking.alabama.gov" TargetMode="External"/><Relationship Id="rId27" Type="http://schemas.openxmlformats.org/officeDocument/2006/relationships/hyperlink" Target="http://www.al.com/opinion/index.ssf/2017/05/alabamas_toxic_lending_problem.html" TargetMode="External"/><Relationship Id="rId28" Type="http://schemas.openxmlformats.org/officeDocument/2006/relationships/hyperlink" Target="http://www.al.com/news/index.ssf/2016/09/alabamians_use_payday_loans_tw.html" TargetMode="External"/><Relationship Id="rId29" Type="http://schemas.openxmlformats.org/officeDocument/2006/relationships/hyperlink" Target="http://www.lwval.org/payday-lending/payday-lending-facts-&amp;-issues.pdf" TargetMode="External"/><Relationship Id="rId30" Type="http://schemas.openxmlformats.org/officeDocument/2006/relationships/hyperlink" Target="http://blog.al.com/birmingham-news-commentary/2012/09/viewpoints_alabama_leads_natio.html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addicted.org/addiction-services-birmingham.html" TargetMode="External"/><Relationship Id="rId11" Type="http://schemas.openxmlformats.org/officeDocument/2006/relationships/hyperlink" Target="http://www.jeffcntyhousing.com/" TargetMode="External"/><Relationship Id="rId12" Type="http://schemas.openxmlformats.org/officeDocument/2006/relationships/hyperlink" Target="https://www.homelessshelterdirectory.org/cgi-bin/id/city.cgi?city=Birmingham&amp;state=AL" TargetMode="External"/><Relationship Id="rId13" Type="http://schemas.openxmlformats.org/officeDocument/2006/relationships/hyperlink" Target="http://www.needhelppayingbills.com/html/jefferson_county_assistance_pr7.html" TargetMode="External"/><Relationship Id="rId14" Type="http://schemas.openxmlformats.org/officeDocument/2006/relationships/hyperlink" Target="https://www.birmingham.va.gov/" TargetMode="External"/><Relationship Id="rId15" Type="http://schemas.openxmlformats.org/officeDocument/2006/relationships/hyperlink" Target="http://www.al.com/opinion/index.ssf/2017/05/alabamas_toxic_lending_problem.html" TargetMode="External"/><Relationship Id="rId16" Type="http://schemas.openxmlformats.org/officeDocument/2006/relationships/hyperlink" Target="http://www.al.com/news/index.ssf/2016/09/alabamians_use_payday_loans_tw.html" TargetMode="External"/><Relationship Id="rId17" Type="http://schemas.openxmlformats.org/officeDocument/2006/relationships/hyperlink" Target="http://www.lwval.org/payday-lending/payday-lending-facts-&amp;-issues.pdf" TargetMode="External"/><Relationship Id="rId18" Type="http://schemas.openxmlformats.org/officeDocument/2006/relationships/hyperlink" Target="http://blog.al.com/birmingham-news-commentary/2012/09/viewpoints_alabama_leads_natio.html" TargetMode="External"/><Relationship Id="rId19" Type="http://schemas.openxmlformats.org/officeDocument/2006/relationships/hyperlink" Target="http://www.jcceo.org/programs_servic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eedhelppayingbills.com/html/birmingham_rent_assistance.html" TargetMode="External"/><Relationship Id="rId8" Type="http://schemas.openxmlformats.org/officeDocument/2006/relationships/hyperlink" Target="http://www.jccal.org/Default.asp?ID=355&amp;pg=Senior+Citizens+Services" TargetMode="External"/></Relationships>
</file>

<file path=word/_rels/footnotes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eptofnumbers.com/income/alabama/birmingham/" TargetMode="External"/><Relationship Id="rId20" Type="http://schemas.openxmlformats.org/officeDocument/2006/relationships/hyperlink" Target="http://www.al.com/news/index.ssf/2016/09/alabamians_use_payday_loans_tw.html" TargetMode="External"/><Relationship Id="rId21" Type="http://schemas.openxmlformats.org/officeDocument/2006/relationships/hyperlink" Target="http://www.al.com/opinion/index.ssf/2017/05/alabamas_toxic_lending_problem.html" TargetMode="External"/><Relationship Id="rId22" Type="http://schemas.openxmlformats.org/officeDocument/2006/relationships/hyperlink" Target="http://www.lwval.org/payday-lending/payday-lending-facts-&amp;-issues.pdf" TargetMode="External"/><Relationship Id="rId23" Type="http://schemas.openxmlformats.org/officeDocument/2006/relationships/hyperlink" Target="http://blog.credit.com/2016/05/1-in-5-auto-title-loan-borrowers-have-their-vehicle-seized-144700/" TargetMode="External"/><Relationship Id="rId24" Type="http://schemas.openxmlformats.org/officeDocument/2006/relationships/hyperlink" Target="http://www.responsiblelending.org/state-of-lending/reports/7-Car-Title-Loans.pdf" TargetMode="External"/><Relationship Id="rId25" Type="http://schemas.openxmlformats.org/officeDocument/2006/relationships/hyperlink" Target="https://www.sapling.com/6820766/alabama-laws-title-loans" TargetMode="External"/><Relationship Id="rId26" Type="http://schemas.openxmlformats.org/officeDocument/2006/relationships/hyperlink" Target="http://blog.al.com/birmingham-news-commentary/2012/09/viewpoints_alabama_leads_natio.html" TargetMode="External"/><Relationship Id="rId27" Type="http://schemas.openxmlformats.org/officeDocument/2006/relationships/hyperlink" Target="http://blog.al.com/birmingham-news-commentary/2012/09/viewpoints_alabama_leads_natio.html" TargetMode="External"/><Relationship Id="rId10" Type="http://schemas.openxmlformats.org/officeDocument/2006/relationships/hyperlink" Target="http://livingwage.mit.edu/counties/01073" TargetMode="External"/><Relationship Id="rId11" Type="http://schemas.openxmlformats.org/officeDocument/2006/relationships/hyperlink" Target="http://www.deptofnumbers.com/rent/alabama/birmingham/" TargetMode="External"/><Relationship Id="rId12" Type="http://schemas.openxmlformats.org/officeDocument/2006/relationships/hyperlink" Target="http://www.al.com/news/index.ssf/2016/09/alabamians_use_payday_loans_tw.html" TargetMode="External"/><Relationship Id="rId13" Type="http://schemas.openxmlformats.org/officeDocument/2006/relationships/hyperlink" Target="http://www.lwval.org/payday-lending/payday-lending-facts-&amp;-issues.pdf" TargetMode="External"/><Relationship Id="rId14" Type="http://schemas.openxmlformats.org/officeDocument/2006/relationships/hyperlink" Target="http://www.lwval.org/payday-lending/payday-lending-facts-&amp;-issues.pdf" TargetMode="External"/><Relationship Id="rId15" Type="http://schemas.openxmlformats.org/officeDocument/2006/relationships/hyperlink" Target="http://www.al.com/news/index.ssf/2016/09/alabamians_use_payday_loans_tw.html" TargetMode="External"/><Relationship Id="rId16" Type="http://schemas.openxmlformats.org/officeDocument/2006/relationships/hyperlink" Target="http://www.al.com/opinion/index.ssf/2017/05/alabamas_toxic_lending_problem.html" TargetMode="External"/><Relationship Id="rId17" Type="http://schemas.openxmlformats.org/officeDocument/2006/relationships/hyperlink" Target="http://www.al.com/opinion/index.ssf/2017/05/alabamas_toxic_lending_problem.html" TargetMode="External"/><Relationship Id="rId18" Type="http://schemas.openxmlformats.org/officeDocument/2006/relationships/hyperlink" Target="http://www.al.com/news/index.ssf/2016/09/alabamians_use_payday_loans_tw.html" TargetMode="External"/><Relationship Id="rId19" Type="http://schemas.openxmlformats.org/officeDocument/2006/relationships/hyperlink" Target="http://www.al.com/news/index.ssf/2016/09/alabamians_use_payday_loans_tw.html" TargetMode="External"/><Relationship Id="rId1" Type="http://schemas.openxmlformats.org/officeDocument/2006/relationships/hyperlink" Target="https://www.census.gov/quickfacts/fact/map/birminghamcityalabama/PST045216" TargetMode="External"/><Relationship Id="rId2" Type="http://schemas.openxmlformats.org/officeDocument/2006/relationships/hyperlink" Target="https://www.census.gov/quickfacts/fact/map/birminghamcityalabama/PST045216" TargetMode="External"/><Relationship Id="rId3" Type="http://schemas.openxmlformats.org/officeDocument/2006/relationships/hyperlink" Target="https://www.bls.gov/eag/eag.al_birmingham_msa.htm" TargetMode="External"/><Relationship Id="rId4" Type="http://schemas.openxmlformats.org/officeDocument/2006/relationships/hyperlink" Target="https://www.bizjournals.com/birmingham/news/2017/08/30/alabama-job-growth-expected-to-pick-up-the-pace-in.html" TargetMode="External"/><Relationship Id="rId5" Type="http://schemas.openxmlformats.org/officeDocument/2006/relationships/hyperlink" Target="https://www.reuters.com/article/us-usa-alabama-jeffersoncounty1/alabama-county-files-biggest-municipal-bankruptcy-idUSTRE7A94CP20111110" TargetMode="External"/><Relationship Id="rId6" Type="http://schemas.openxmlformats.org/officeDocument/2006/relationships/hyperlink" Target="http://parcalabama.org/wp-content/uploads/2017/04/How-Alabama-City-Finances-Compare.pdf" TargetMode="External"/><Relationship Id="rId7" Type="http://schemas.openxmlformats.org/officeDocument/2006/relationships/hyperlink" Target="http://livingwage.mit.edu/counties/01073" TargetMode="External"/><Relationship Id="rId8" Type="http://schemas.openxmlformats.org/officeDocument/2006/relationships/hyperlink" Target="http://livingwage.mit.edu/counties/0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6008</Characters>
  <Application>Microsoft Macintosh Word</Application>
  <DocSecurity>0</DocSecurity>
  <Lines>50</Lines>
  <Paragraphs>14</Paragraphs>
  <ScaleCrop>false</ScaleCrop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Lane Karaska</cp:lastModifiedBy>
  <cp:revision>2</cp:revision>
  <dcterms:created xsi:type="dcterms:W3CDTF">2018-01-02T16:42:00Z</dcterms:created>
  <dcterms:modified xsi:type="dcterms:W3CDTF">2018-01-02T16:42:00Z</dcterms:modified>
</cp:coreProperties>
</file>